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harts/colors1.xml" ContentType="application/vnd.ms-office.chartcolorstyle+xml"/>
  <Override PartName="/word/charts/style1.xml" ContentType="application/vnd.ms-office.chartsty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4942" w:rsidRPr="00044282" w:rsidRDefault="005C4942" w:rsidP="005C4942">
      <w:pPr>
        <w:pStyle w:val="Brezrazmikov"/>
        <w:jc w:val="center"/>
        <w:rPr>
          <w:b/>
          <w:bCs/>
        </w:rPr>
      </w:pPr>
      <w:r w:rsidRPr="00044282">
        <w:rPr>
          <w:b/>
          <w:bCs/>
          <w:noProof/>
          <w:lang w:eastAsia="sl-SI"/>
        </w:rPr>
        <w:drawing>
          <wp:inline distT="0" distB="0" distL="0" distR="0" wp14:anchorId="254BE887" wp14:editId="6C2439AA">
            <wp:extent cx="410915" cy="424746"/>
            <wp:effectExtent l="0" t="0" r="8255" b="0"/>
            <wp:docPr id="1" name="Slika 1" descr="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b"/>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10589" cy="424409"/>
                    </a:xfrm>
                    <a:prstGeom prst="rect">
                      <a:avLst/>
                    </a:prstGeom>
                    <a:noFill/>
                    <a:ln>
                      <a:noFill/>
                    </a:ln>
                  </pic:spPr>
                </pic:pic>
              </a:graphicData>
            </a:graphic>
          </wp:inline>
        </w:drawing>
      </w:r>
    </w:p>
    <w:p w:rsidR="005C4942" w:rsidRPr="00044282" w:rsidRDefault="005C4942" w:rsidP="005C4942">
      <w:pPr>
        <w:pStyle w:val="Brezrazmikov"/>
        <w:jc w:val="center"/>
        <w:rPr>
          <w:b/>
          <w:bCs/>
        </w:rPr>
      </w:pPr>
    </w:p>
    <w:p w:rsidR="005C4942" w:rsidRPr="0025340F" w:rsidRDefault="005C4942" w:rsidP="005C4942">
      <w:pPr>
        <w:pStyle w:val="Brezrazmikov"/>
        <w:jc w:val="center"/>
        <w:rPr>
          <w:bCs/>
          <w:sz w:val="16"/>
        </w:rPr>
      </w:pPr>
      <w:r w:rsidRPr="0025340F">
        <w:rPr>
          <w:b/>
          <w:bCs/>
          <w:sz w:val="16"/>
        </w:rPr>
        <w:t>OBČINA KIDRIČEVO</w:t>
      </w:r>
    </w:p>
    <w:p w:rsidR="005C4942" w:rsidRPr="0025340F" w:rsidRDefault="005C4942" w:rsidP="005C4942">
      <w:pPr>
        <w:pStyle w:val="Brezrazmikov"/>
        <w:jc w:val="center"/>
        <w:rPr>
          <w:bCs/>
          <w:sz w:val="16"/>
        </w:rPr>
      </w:pPr>
      <w:r w:rsidRPr="0025340F">
        <w:rPr>
          <w:bCs/>
          <w:sz w:val="16"/>
        </w:rPr>
        <w:t>OBČINSKI SVET</w:t>
      </w:r>
    </w:p>
    <w:p w:rsidR="005C4942" w:rsidRPr="0025340F" w:rsidRDefault="005C4942" w:rsidP="005C4942">
      <w:pPr>
        <w:pStyle w:val="Brezrazmikov"/>
        <w:jc w:val="center"/>
        <w:rPr>
          <w:bCs/>
          <w:sz w:val="16"/>
        </w:rPr>
      </w:pPr>
      <w:r w:rsidRPr="0025340F">
        <w:rPr>
          <w:bCs/>
          <w:sz w:val="16"/>
        </w:rPr>
        <w:t>Kopališka ul. 14</w:t>
      </w:r>
    </w:p>
    <w:p w:rsidR="005C4942" w:rsidRPr="0025340F" w:rsidRDefault="005C4942" w:rsidP="005C4942">
      <w:pPr>
        <w:pStyle w:val="Brezrazmikov"/>
        <w:jc w:val="center"/>
        <w:rPr>
          <w:bCs/>
          <w:sz w:val="16"/>
        </w:rPr>
      </w:pPr>
      <w:r w:rsidRPr="0025340F">
        <w:rPr>
          <w:bCs/>
          <w:sz w:val="16"/>
        </w:rPr>
        <w:t>2325 Kidričevo</w:t>
      </w:r>
    </w:p>
    <w:p w:rsidR="005C4942" w:rsidRPr="00044282" w:rsidRDefault="005C4942" w:rsidP="005C4942">
      <w:pPr>
        <w:pStyle w:val="Brezrazmikov"/>
        <w:jc w:val="both"/>
      </w:pPr>
    </w:p>
    <w:p w:rsidR="005C4942" w:rsidRDefault="005C4942" w:rsidP="005C4942">
      <w:pPr>
        <w:pStyle w:val="Brezrazmikov"/>
        <w:jc w:val="both"/>
      </w:pPr>
    </w:p>
    <w:p w:rsidR="005C4942" w:rsidRDefault="005C4942" w:rsidP="005C4942">
      <w:pPr>
        <w:pStyle w:val="Brezrazmikov"/>
        <w:jc w:val="both"/>
      </w:pPr>
      <w:r>
        <w:t xml:space="preserve">Številka: </w:t>
      </w:r>
      <w:r w:rsidRPr="00044282">
        <w:t>032-1/2014</w:t>
      </w:r>
    </w:p>
    <w:p w:rsidR="005C4942" w:rsidRDefault="005C4942" w:rsidP="005C4942">
      <w:pPr>
        <w:pStyle w:val="Brezrazmikov"/>
        <w:jc w:val="both"/>
      </w:pPr>
    </w:p>
    <w:p w:rsidR="005C4942" w:rsidRDefault="005C4942" w:rsidP="005C4942">
      <w:pPr>
        <w:pStyle w:val="Brezrazmikov"/>
        <w:jc w:val="both"/>
      </w:pPr>
    </w:p>
    <w:p w:rsidR="005C4942" w:rsidRDefault="00934A33" w:rsidP="005C4942">
      <w:pPr>
        <w:pStyle w:val="Brezrazmikov"/>
        <w:jc w:val="both"/>
        <w:rPr>
          <w:u w:val="single"/>
        </w:rPr>
      </w:pPr>
      <w:r>
        <w:rPr>
          <w:u w:val="single"/>
        </w:rPr>
        <w:t xml:space="preserve">ODGOVORI NA PODANA </w:t>
      </w:r>
      <w:r w:rsidR="005C4942">
        <w:rPr>
          <w:u w:val="single"/>
        </w:rPr>
        <w:t>VPRAŠANJA IN POBUDE</w:t>
      </w:r>
      <w:r>
        <w:rPr>
          <w:u w:val="single"/>
        </w:rPr>
        <w:t xml:space="preserve"> NA 28. REDNI SEJI OBČINSKEGA SVETA</w:t>
      </w:r>
      <w:bookmarkStart w:id="0" w:name="_GoBack"/>
      <w:bookmarkEnd w:id="0"/>
    </w:p>
    <w:p w:rsidR="005C4942" w:rsidRDefault="005C4942" w:rsidP="005C4942">
      <w:pPr>
        <w:pStyle w:val="Brezrazmikov"/>
        <w:jc w:val="both"/>
        <w:rPr>
          <w:u w:val="single"/>
        </w:rPr>
      </w:pPr>
    </w:p>
    <w:p w:rsidR="005C4942" w:rsidRDefault="005C4942" w:rsidP="005C4942">
      <w:pPr>
        <w:pStyle w:val="Brezrazmikov"/>
        <w:jc w:val="both"/>
        <w:rPr>
          <w:u w:val="single"/>
        </w:rPr>
      </w:pPr>
    </w:p>
    <w:p w:rsidR="005C4942" w:rsidRDefault="005C4942" w:rsidP="005C4942">
      <w:pPr>
        <w:pStyle w:val="Brezrazmikov"/>
        <w:jc w:val="both"/>
      </w:pPr>
    </w:p>
    <w:p w:rsidR="005C4942" w:rsidRDefault="005C4942" w:rsidP="005C4942">
      <w:pPr>
        <w:pStyle w:val="Brezrazmikov"/>
        <w:jc w:val="both"/>
      </w:pPr>
    </w:p>
    <w:p w:rsidR="005C4942" w:rsidRDefault="005C4942" w:rsidP="005C4942">
      <w:pPr>
        <w:pStyle w:val="Brezrazmikov"/>
        <w:jc w:val="both"/>
      </w:pPr>
      <w:r w:rsidRPr="005C4942">
        <w:rPr>
          <w:b/>
        </w:rPr>
        <w:t>Gospod Slavko Krajnc</w:t>
      </w:r>
      <w:r>
        <w:t xml:space="preserve"> je glede na poročilo nadzornega odbora, gled</w:t>
      </w:r>
      <w:r w:rsidR="00BE0846">
        <w:t xml:space="preserve">e izdaje vrednosti bonov </w:t>
      </w:r>
      <w:proofErr w:type="spellStart"/>
      <w:r w:rsidR="00BE0846">
        <w:t>Sternt</w:t>
      </w:r>
      <w:r>
        <w:t>h</w:t>
      </w:r>
      <w:r w:rsidR="00BE0846">
        <w:t>a</w:t>
      </w:r>
      <w:r>
        <w:t>l</w:t>
      </w:r>
      <w:proofErr w:type="spellEnd"/>
      <w:r>
        <w:t xml:space="preserve"> vprašal ali je problem, da se to vrši v podjetju. Poraba bonov se mu zdi  zelo mala. Zanima ga, ali je to zakonsko sporno. Nadzorni obor je sprejel sklep, da se izdaja bonov preda skupni notranji revizijski službi in računskemu sodišču. Zanima ga, ali je bilo to izvedeno in kakšen je bil odgovor. </w:t>
      </w:r>
    </w:p>
    <w:p w:rsidR="00BE0846" w:rsidRDefault="00BE0846" w:rsidP="005C4942">
      <w:pPr>
        <w:pStyle w:val="Brezrazmikov"/>
        <w:jc w:val="both"/>
      </w:pPr>
    </w:p>
    <w:p w:rsidR="00BE0846" w:rsidRPr="00017F97" w:rsidRDefault="00BE0846" w:rsidP="005C4942">
      <w:pPr>
        <w:pStyle w:val="Brezrazmikov"/>
        <w:jc w:val="both"/>
        <w:rPr>
          <w:b/>
        </w:rPr>
      </w:pPr>
      <w:r w:rsidRPr="00017F97">
        <w:rPr>
          <w:b/>
        </w:rPr>
        <w:t>Odgovor:</w:t>
      </w:r>
    </w:p>
    <w:p w:rsidR="00BE0846" w:rsidRDefault="00BE0846" w:rsidP="005C4942">
      <w:pPr>
        <w:pStyle w:val="Brezrazmikov"/>
        <w:jc w:val="both"/>
      </w:pPr>
      <w:r>
        <w:t>Prodaja bonov konstantno raste. K dodatni rasti bodo pripomogla tudi izplačila žepnin. Dokumentacijo smo predali notranji revizijski službi SOU Ptuj. Odgovora še nismo prejeli.</w:t>
      </w:r>
    </w:p>
    <w:p w:rsidR="00BE0846" w:rsidRDefault="00BE0846" w:rsidP="005C4942">
      <w:pPr>
        <w:pStyle w:val="Brezrazmikov"/>
        <w:jc w:val="both"/>
      </w:pPr>
    </w:p>
    <w:p w:rsidR="00BE0846" w:rsidRDefault="00BE0846" w:rsidP="005C4942">
      <w:pPr>
        <w:pStyle w:val="Brezrazmikov"/>
        <w:jc w:val="both"/>
      </w:pPr>
      <w:r>
        <w:rPr>
          <w:noProof/>
          <w:lang w:eastAsia="sl-SI"/>
        </w:rPr>
        <w:drawing>
          <wp:inline distT="0" distB="0" distL="0" distR="0" wp14:anchorId="55A664A0" wp14:editId="605C851E">
            <wp:extent cx="5760720" cy="2949575"/>
            <wp:effectExtent l="0" t="0" r="11430" b="3175"/>
            <wp:docPr id="2" name="Grafikon 2"/>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5C4942" w:rsidRDefault="005C4942" w:rsidP="005C4942">
      <w:pPr>
        <w:pStyle w:val="Brezrazmikov"/>
        <w:jc w:val="both"/>
      </w:pPr>
    </w:p>
    <w:p w:rsidR="005C4942" w:rsidRDefault="005C4942" w:rsidP="005C4942">
      <w:pPr>
        <w:pStyle w:val="Brezrazmikov"/>
        <w:jc w:val="both"/>
      </w:pPr>
      <w:r>
        <w:t xml:space="preserve">Glede na podana vprašanja na prejšnji seji občinskega sveta z odgovori ni zadovoljen. Daj je pobude, da se pot od Taluma do Mercatorja označi še kot kolesarska pot. Ni res, da se to ne moremo označiti kot kolesarska pot. </w:t>
      </w:r>
    </w:p>
    <w:p w:rsidR="00017F97" w:rsidRDefault="00017F97" w:rsidP="005C4942">
      <w:pPr>
        <w:pStyle w:val="Brezrazmikov"/>
        <w:jc w:val="both"/>
      </w:pPr>
      <w:r w:rsidRPr="00017F97">
        <w:rPr>
          <w:b/>
        </w:rPr>
        <w:t>Odgovor:</w:t>
      </w:r>
      <w:r>
        <w:t xml:space="preserve"> V prihodnjem mandatu se bo gradilo pre</w:t>
      </w:r>
      <w:r w:rsidR="00BB0BB7">
        <w:t>c</w:t>
      </w:r>
      <w:r>
        <w:t>ej kolesarskih stez, ki bodo urejena v skladu z zakonodajo. Prav tako bo se bo ustrezno nadgradila omenjena steza.</w:t>
      </w:r>
    </w:p>
    <w:p w:rsidR="005C4942" w:rsidRDefault="005C4942" w:rsidP="005C4942">
      <w:pPr>
        <w:pStyle w:val="Brezrazmikov"/>
        <w:jc w:val="both"/>
      </w:pPr>
      <w:r>
        <w:t>Zanima ga, katere spomenike bomo postavili v Spominskem parku, glede na to, da so predstavniki Rusije odstopili od postavitve spomenika. Zanima ga, ali bomo postavili druge spomenike in ali bomo postavili podstavek prejšnjega spomenika.</w:t>
      </w:r>
    </w:p>
    <w:p w:rsidR="00017F97" w:rsidRDefault="00017F97" w:rsidP="005C4942">
      <w:pPr>
        <w:pStyle w:val="Brezrazmikov"/>
        <w:jc w:val="both"/>
        <w:rPr>
          <w:b/>
        </w:rPr>
      </w:pPr>
    </w:p>
    <w:p w:rsidR="00017F97" w:rsidRDefault="00017F97" w:rsidP="005C4942">
      <w:pPr>
        <w:pStyle w:val="Brezrazmikov"/>
        <w:jc w:val="both"/>
      </w:pPr>
      <w:r w:rsidRPr="00017F97">
        <w:rPr>
          <w:b/>
        </w:rPr>
        <w:t>Odgovor:</w:t>
      </w:r>
      <w:r>
        <w:t xml:space="preserve"> V parku so pripravljeni namenski prostori, ki bodo namenjeni postavitvah spomenikov v prihodnosti.</w:t>
      </w:r>
      <w:r w:rsidR="00BB0BB7">
        <w:t xml:space="preserve"> Postavljat podstavek brez glavnega bistva spomenika se nam ne zdi smiselno.</w:t>
      </w:r>
    </w:p>
    <w:p w:rsidR="005C4942" w:rsidRDefault="005C4942" w:rsidP="005C4942">
      <w:pPr>
        <w:pStyle w:val="Brezrazmikov"/>
        <w:jc w:val="both"/>
      </w:pPr>
    </w:p>
    <w:p w:rsidR="005C4942" w:rsidRDefault="005C4942" w:rsidP="005C4942">
      <w:pPr>
        <w:pStyle w:val="Brezrazmikov"/>
        <w:jc w:val="both"/>
      </w:pPr>
      <w:r>
        <w:t xml:space="preserve">Vprašanje je imel glede obrambe proti toči. Odgovor je dobil, da je občina k obrambi proti toči pristopimo, moti ga, da se  vse ureja prepočasi. </w:t>
      </w:r>
    </w:p>
    <w:p w:rsidR="00017F97" w:rsidRDefault="00017F97" w:rsidP="005C4942">
      <w:pPr>
        <w:pStyle w:val="Brezrazmikov"/>
        <w:jc w:val="both"/>
      </w:pPr>
    </w:p>
    <w:p w:rsidR="00FF49CD" w:rsidRPr="00FF49CD" w:rsidRDefault="00017F97" w:rsidP="00FF49CD">
      <w:pPr>
        <w:pStyle w:val="Brezrazmikov"/>
        <w:jc w:val="both"/>
      </w:pPr>
      <w:r w:rsidRPr="00017F97">
        <w:rPr>
          <w:b/>
        </w:rPr>
        <w:t xml:space="preserve">Odgovor: </w:t>
      </w:r>
      <w:r w:rsidR="00FF49CD" w:rsidRPr="00FF49CD">
        <w:t>Občina Kidričevo že vrsto let aktivno sodeluje  pri obrambi proti toči. Do letošnjega leta je bila vsako leto pravočasno podpisana pogodba med Letalskim centrom Maribor in Občino Kidričevo v spomladanskih mesecih.</w:t>
      </w:r>
    </w:p>
    <w:p w:rsidR="00FF49CD" w:rsidRPr="00FF49CD" w:rsidRDefault="00FF49CD" w:rsidP="00FF49CD">
      <w:pPr>
        <w:pStyle w:val="Brezrazmikov"/>
        <w:jc w:val="both"/>
      </w:pPr>
      <w:r w:rsidRPr="00FF49CD">
        <w:t xml:space="preserve">V letošnjem letu oz. za obrambo proti toči v letu 2018, pa  je aktivno pristopila tudi država in nas pozvala, da pristopimo k sodelovanju, kjer bi država izbirala </w:t>
      </w:r>
      <w:r>
        <w:t>izvajalca za vse občine in oben</w:t>
      </w:r>
      <w:r w:rsidRPr="00FF49CD">
        <w:t>e</w:t>
      </w:r>
      <w:r>
        <w:t>m</w:t>
      </w:r>
      <w:r w:rsidRPr="00FF49CD">
        <w:t xml:space="preserve"> tudi sofinancirala dejavnost.</w:t>
      </w:r>
    </w:p>
    <w:p w:rsidR="00017F97" w:rsidRPr="00FF49CD" w:rsidRDefault="00FF49CD" w:rsidP="00FF49CD">
      <w:pPr>
        <w:pStyle w:val="Brezrazmikov"/>
        <w:jc w:val="both"/>
      </w:pPr>
      <w:r w:rsidRPr="00FF49CD">
        <w:t>Ministrstvo je tako pričelo s postopki izbire  skupnega izvajalca za obrambo pred točo, zato se je zaradi postopkov,  na katere občina ni imela vpliva, izvira izvajalca zavlekla in s tem posledično tudi ukrepi  pred točo.</w:t>
      </w:r>
    </w:p>
    <w:p w:rsidR="005C4942" w:rsidRDefault="005C4942" w:rsidP="005C4942">
      <w:pPr>
        <w:pStyle w:val="Brezrazmikov"/>
        <w:jc w:val="both"/>
      </w:pPr>
    </w:p>
    <w:p w:rsidR="005C4942" w:rsidRDefault="005C4942" w:rsidP="005C4942">
      <w:pPr>
        <w:pStyle w:val="Brezrazmikov"/>
        <w:jc w:val="both"/>
      </w:pPr>
      <w:r>
        <w:t xml:space="preserve">Tretje glede na to, da so počitnice in da otroci se ukvarjajo z različnimi športnimi in drugimi dejavnostmi je predlagal, da bi v občini naredili športni objekt v smislu </w:t>
      </w:r>
      <w:proofErr w:type="spellStart"/>
      <w:r>
        <w:t>pump</w:t>
      </w:r>
      <w:proofErr w:type="spellEnd"/>
      <w:r>
        <w:t xml:space="preserve"> </w:t>
      </w:r>
      <w:proofErr w:type="spellStart"/>
      <w:r>
        <w:t>track</w:t>
      </w:r>
      <w:proofErr w:type="spellEnd"/>
      <w:r>
        <w:t xml:space="preserve"> steze, </w:t>
      </w:r>
      <w:r w:rsidR="00BE0846">
        <w:t>hkrati pa otroci tako ne bi bili</w:t>
      </w:r>
      <w:r>
        <w:t xml:space="preserve"> izpostavljeni prometu.  </w:t>
      </w:r>
    </w:p>
    <w:p w:rsidR="00017F97" w:rsidRDefault="00017F97" w:rsidP="005C4942">
      <w:pPr>
        <w:pStyle w:val="Brezrazmikov"/>
        <w:jc w:val="both"/>
      </w:pPr>
    </w:p>
    <w:p w:rsidR="00017F97" w:rsidRDefault="00017F97" w:rsidP="005C4942">
      <w:pPr>
        <w:pStyle w:val="Brezrazmikov"/>
        <w:jc w:val="both"/>
      </w:pPr>
      <w:r w:rsidRPr="00BB0BB7">
        <w:rPr>
          <w:b/>
        </w:rPr>
        <w:t>Odgovor:</w:t>
      </w:r>
      <w:r>
        <w:t xml:space="preserve"> </w:t>
      </w:r>
      <w:r w:rsidR="00300FDB">
        <w:t xml:space="preserve">Na temo </w:t>
      </w:r>
      <w:proofErr w:type="spellStart"/>
      <w:r w:rsidR="00300FDB">
        <w:t>pump</w:t>
      </w:r>
      <w:proofErr w:type="spellEnd"/>
      <w:r w:rsidR="00300FDB">
        <w:t xml:space="preserve"> </w:t>
      </w:r>
      <w:proofErr w:type="spellStart"/>
      <w:r w:rsidR="00300FDB">
        <w:t>track</w:t>
      </w:r>
      <w:proofErr w:type="spellEnd"/>
      <w:r w:rsidR="00300FDB">
        <w:t xml:space="preserve"> steze je potrebno opravil širšo razpravo in poiskat ustrezno lokacijo</w:t>
      </w:r>
      <w:r w:rsidR="00BB0BB7">
        <w:t>. Prav tako iščemo ustrezne razpise, da bi pridobili sofinanciranje projekta.</w:t>
      </w:r>
    </w:p>
    <w:p w:rsidR="005C4942" w:rsidRDefault="005C4942" w:rsidP="005C4942">
      <w:pPr>
        <w:pStyle w:val="Brezrazmikov"/>
        <w:jc w:val="both"/>
      </w:pPr>
    </w:p>
    <w:p w:rsidR="005C4942" w:rsidRDefault="005C4942" w:rsidP="005C4942">
      <w:pPr>
        <w:pStyle w:val="Brezrazmikov"/>
        <w:jc w:val="both"/>
      </w:pPr>
    </w:p>
    <w:p w:rsidR="005C4942" w:rsidRDefault="005C4942" w:rsidP="005C4942">
      <w:pPr>
        <w:pStyle w:val="Brezrazmikov"/>
        <w:jc w:val="both"/>
      </w:pPr>
      <w:r w:rsidRPr="005C4942">
        <w:rPr>
          <w:b/>
        </w:rPr>
        <w:t>Gospa Ivanka Korez</w:t>
      </w:r>
      <w:r>
        <w:t xml:space="preserve"> je prosila, če se lahko pošlje dopis društvom, da naj za svoje odpadke od piknikov in drugih prireditev poskrbijo sami. Sedaj svoje odpadke odlagajo v posode šole ter odpadke odlagajo kar zraven. Društva se naj obvesti, da za svoje odpadke tudi poskrbijo in jih sami odpeljejo v zbirni center. </w:t>
      </w:r>
    </w:p>
    <w:p w:rsidR="00017F97" w:rsidRDefault="00017F97" w:rsidP="005C4942">
      <w:pPr>
        <w:pStyle w:val="Brezrazmikov"/>
        <w:jc w:val="both"/>
      </w:pPr>
    </w:p>
    <w:p w:rsidR="00017F97" w:rsidRDefault="00017F97" w:rsidP="005C4942">
      <w:pPr>
        <w:pStyle w:val="Brezrazmikov"/>
        <w:jc w:val="both"/>
      </w:pPr>
      <w:r w:rsidRPr="00300FDB">
        <w:rPr>
          <w:b/>
        </w:rPr>
        <w:t>Odgovor</w:t>
      </w:r>
      <w:r>
        <w:t>: Z društvi je bil opravljen razgovor in so zagotovila, da se bo stanje izboljšalo.</w:t>
      </w:r>
    </w:p>
    <w:p w:rsidR="005C4942" w:rsidRDefault="005C4942" w:rsidP="005C4942">
      <w:pPr>
        <w:pStyle w:val="Brezrazmikov"/>
        <w:jc w:val="both"/>
      </w:pPr>
    </w:p>
    <w:p w:rsidR="005C4942" w:rsidRDefault="005C4942" w:rsidP="005C4942">
      <w:pPr>
        <w:pStyle w:val="Brezrazmikov"/>
        <w:jc w:val="both"/>
      </w:pPr>
      <w:r w:rsidRPr="005C4942">
        <w:rPr>
          <w:b/>
        </w:rPr>
        <w:t>Gospod Milan Strmšek</w:t>
      </w:r>
      <w:r>
        <w:t xml:space="preserve"> je imel dve vprašanji. Kako je z </w:t>
      </w:r>
      <w:proofErr w:type="spellStart"/>
      <w:r>
        <w:t>grediranjem</w:t>
      </w:r>
      <w:proofErr w:type="spellEnd"/>
      <w:r>
        <w:t xml:space="preserve"> poljskih cest kar, nismo izvedbi to kar je bilo po izgradnji  daljnovodov. </w:t>
      </w:r>
    </w:p>
    <w:p w:rsidR="005C4942" w:rsidRDefault="005C4942" w:rsidP="005C4942">
      <w:pPr>
        <w:pStyle w:val="Brezrazmikov"/>
        <w:jc w:val="both"/>
      </w:pPr>
      <w:r>
        <w:t>Odbor za kmetijstvo je peljal akcijo vsaka vas dobi gramoz. Ena vas deset tovornjakov, druga dvajset, tretja nič.</w:t>
      </w:r>
    </w:p>
    <w:p w:rsidR="00300FDB" w:rsidRDefault="00300FDB" w:rsidP="005C4942">
      <w:pPr>
        <w:pStyle w:val="Brezrazmikov"/>
        <w:jc w:val="both"/>
      </w:pPr>
    </w:p>
    <w:p w:rsidR="005C4942" w:rsidRDefault="00017F97" w:rsidP="005C4942">
      <w:pPr>
        <w:pStyle w:val="Brezrazmikov"/>
        <w:jc w:val="both"/>
      </w:pPr>
      <w:r w:rsidRPr="00300FDB">
        <w:rPr>
          <w:b/>
        </w:rPr>
        <w:t>Odgovor:</w:t>
      </w:r>
      <w:r>
        <w:t xml:space="preserve"> </w:t>
      </w:r>
      <w:r w:rsidR="00300FDB">
        <w:t>V teku je razdelitev gramoza za vse vasi, kar koordinira Odbor za kmetijstvo. Prav tako je v teku sanacija cest pri izgradnji daljnovodov.</w:t>
      </w:r>
    </w:p>
    <w:p w:rsidR="00017F97" w:rsidRDefault="00017F97" w:rsidP="005C4942">
      <w:pPr>
        <w:pStyle w:val="Brezrazmikov"/>
        <w:jc w:val="both"/>
      </w:pPr>
    </w:p>
    <w:p w:rsidR="005C4942" w:rsidRDefault="005C4942" w:rsidP="005C4942">
      <w:pPr>
        <w:pStyle w:val="Brezrazmikov"/>
        <w:jc w:val="both"/>
      </w:pPr>
      <w:r w:rsidRPr="005C4942">
        <w:rPr>
          <w:b/>
        </w:rPr>
        <w:t>Gospa Anja Rajher</w:t>
      </w:r>
      <w:r>
        <w:t xml:space="preserve">, je dala pobudo, da se tudi vrtec v Kidričevem sanirana. </w:t>
      </w:r>
    </w:p>
    <w:p w:rsidR="005C4942" w:rsidRDefault="005C4942" w:rsidP="005C4942">
      <w:pPr>
        <w:pStyle w:val="Brezrazmikov"/>
        <w:jc w:val="both"/>
      </w:pPr>
    </w:p>
    <w:p w:rsidR="00FF49CD" w:rsidRDefault="00017F97" w:rsidP="005C4942">
      <w:pPr>
        <w:pStyle w:val="Brezrazmikov"/>
        <w:jc w:val="both"/>
      </w:pPr>
      <w:r w:rsidRPr="00300FDB">
        <w:rPr>
          <w:b/>
        </w:rPr>
        <w:t>Odgovor:</w:t>
      </w:r>
      <w:r w:rsidR="00300FDB">
        <w:t xml:space="preserve"> </w:t>
      </w:r>
      <w:r w:rsidR="00FF49CD">
        <w:t>S Stanjem smo seznanjeni in v prihodnjih letih se bo pristopilo k sanaciji.</w:t>
      </w:r>
    </w:p>
    <w:p w:rsidR="00017F97" w:rsidRDefault="00FF49CD" w:rsidP="005C4942">
      <w:pPr>
        <w:pStyle w:val="Brezrazmikov"/>
        <w:jc w:val="both"/>
      </w:pPr>
      <w:r>
        <w:t xml:space="preserve"> </w:t>
      </w:r>
    </w:p>
    <w:p w:rsidR="005C4942" w:rsidRDefault="005C4942" w:rsidP="005C4942">
      <w:pPr>
        <w:pStyle w:val="Brezrazmikov"/>
        <w:jc w:val="both"/>
      </w:pPr>
      <w:r w:rsidRPr="005C4942">
        <w:rPr>
          <w:b/>
        </w:rPr>
        <w:t>Gospod Stanislav Lampič</w:t>
      </w:r>
      <w:r>
        <w:t xml:space="preserve"> je vprašal ali se je pridobila soglasje Zavoda za varstvo naravne in kulturne dediščine za izgradnjo parka spominov. </w:t>
      </w:r>
    </w:p>
    <w:p w:rsidR="005C4942" w:rsidRDefault="005C4942" w:rsidP="005C4942">
      <w:pPr>
        <w:pStyle w:val="Brezrazmikov"/>
        <w:jc w:val="both"/>
      </w:pPr>
    </w:p>
    <w:p w:rsidR="00017F97" w:rsidRPr="00300FDB" w:rsidRDefault="00017F97" w:rsidP="005C4942">
      <w:pPr>
        <w:pStyle w:val="Brezrazmikov"/>
        <w:jc w:val="both"/>
      </w:pPr>
      <w:r w:rsidRPr="00300FDB">
        <w:rPr>
          <w:b/>
        </w:rPr>
        <w:t>Odgovor:</w:t>
      </w:r>
      <w:r w:rsidR="00300FDB">
        <w:t xml:space="preserve"> Prejeli smo kulturno varstvene pogoje na katere smo se pritožili na ministrstvo. Odgovora še nismo prejeli.</w:t>
      </w:r>
    </w:p>
    <w:p w:rsidR="00017F97" w:rsidRDefault="00017F97" w:rsidP="005C4942">
      <w:pPr>
        <w:pStyle w:val="Brezrazmikov"/>
        <w:jc w:val="both"/>
      </w:pPr>
    </w:p>
    <w:p w:rsidR="005C4942" w:rsidRDefault="005C4942" w:rsidP="005C4942">
      <w:pPr>
        <w:pStyle w:val="Brezrazmikov"/>
        <w:jc w:val="both"/>
      </w:pPr>
    </w:p>
    <w:p w:rsidR="005C4942" w:rsidRDefault="005C4942" w:rsidP="005C4942">
      <w:pPr>
        <w:pStyle w:val="Brezrazmikov"/>
        <w:jc w:val="both"/>
      </w:pPr>
      <w:r w:rsidRPr="005C4942">
        <w:rPr>
          <w:b/>
        </w:rPr>
        <w:lastRenderedPageBreak/>
        <w:t>Gospod Srečko Lah</w:t>
      </w:r>
      <w:r>
        <w:t xml:space="preserve"> je povedal, da se s 1.8. v Cirkovcah zapira pogodbena pošta. Ljudje so razočarani. Predlagajo, da bi občina z novim proračunom zagotovila sredstva za odkup prostora, kjer je bila prej pošta v Cirkovcah. </w:t>
      </w:r>
    </w:p>
    <w:p w:rsidR="00F032DA" w:rsidRDefault="00F032DA" w:rsidP="005C4942">
      <w:pPr>
        <w:pStyle w:val="Brezrazmikov"/>
        <w:jc w:val="both"/>
        <w:rPr>
          <w:b/>
        </w:rPr>
      </w:pPr>
    </w:p>
    <w:p w:rsidR="00017F97" w:rsidRDefault="00017F97" w:rsidP="005C4942">
      <w:pPr>
        <w:pStyle w:val="Brezrazmikov"/>
        <w:jc w:val="both"/>
      </w:pPr>
      <w:r w:rsidRPr="00017F97">
        <w:rPr>
          <w:b/>
        </w:rPr>
        <w:t>Odgovor:</w:t>
      </w:r>
      <w:r>
        <w:t xml:space="preserve"> Sredstva se lahko zagotovijo za proračun 2019, ampak občina </w:t>
      </w:r>
      <w:r w:rsidR="00FF49CD">
        <w:t xml:space="preserve">mora </w:t>
      </w:r>
      <w:r>
        <w:t>vsak nakup utemeljit</w:t>
      </w:r>
      <w:r w:rsidR="00FF49CD">
        <w:t xml:space="preserve"> in še predhodno ugotovit,</w:t>
      </w:r>
      <w:r>
        <w:t xml:space="preserve"> kaj bi se v omenjenih prostorih izvajalo. </w:t>
      </w:r>
    </w:p>
    <w:p w:rsidR="005C4942" w:rsidRDefault="005C4942" w:rsidP="005C4942">
      <w:pPr>
        <w:pStyle w:val="Brezrazmikov"/>
        <w:jc w:val="both"/>
      </w:pPr>
    </w:p>
    <w:p w:rsidR="005C4942" w:rsidRDefault="005C4942" w:rsidP="005C4942">
      <w:pPr>
        <w:pStyle w:val="Brezrazmikov"/>
        <w:jc w:val="both"/>
      </w:pPr>
    </w:p>
    <w:p w:rsidR="005C4942" w:rsidRDefault="005C4942" w:rsidP="005C4942">
      <w:pPr>
        <w:pStyle w:val="Brezrazmikov"/>
        <w:jc w:val="both"/>
      </w:pPr>
    </w:p>
    <w:p w:rsidR="005C4942" w:rsidRDefault="005C4942" w:rsidP="005C4942">
      <w:pPr>
        <w:pStyle w:val="Brezrazmikov"/>
        <w:jc w:val="both"/>
      </w:pPr>
      <w:r>
        <w:tab/>
      </w:r>
      <w:r>
        <w:tab/>
      </w:r>
      <w:r>
        <w:tab/>
      </w:r>
      <w:r>
        <w:tab/>
      </w:r>
      <w:r>
        <w:tab/>
      </w:r>
      <w:r>
        <w:tab/>
      </w:r>
      <w:r>
        <w:tab/>
      </w:r>
      <w:r>
        <w:tab/>
      </w:r>
      <w:r w:rsidR="00934A33">
        <w:t>Občinska uprava</w:t>
      </w:r>
    </w:p>
    <w:p w:rsidR="005C4942" w:rsidRDefault="005C4942" w:rsidP="005C4942">
      <w:pPr>
        <w:pStyle w:val="Brezrazmikov"/>
        <w:jc w:val="both"/>
      </w:pPr>
    </w:p>
    <w:p w:rsidR="005C4942" w:rsidRDefault="005C4942" w:rsidP="005C4942">
      <w:pPr>
        <w:pStyle w:val="Brezrazmikov"/>
        <w:jc w:val="both"/>
      </w:pPr>
      <w:r>
        <w:tab/>
      </w:r>
      <w:r>
        <w:tab/>
      </w:r>
      <w:r>
        <w:tab/>
      </w:r>
      <w:r>
        <w:tab/>
      </w:r>
      <w:r>
        <w:tab/>
      </w:r>
      <w:r>
        <w:tab/>
      </w:r>
      <w:r>
        <w:tab/>
      </w:r>
      <w:r>
        <w:tab/>
      </w:r>
    </w:p>
    <w:p w:rsidR="00AE26A6" w:rsidRDefault="00934A33" w:rsidP="005C4942">
      <w:pPr>
        <w:pStyle w:val="Brezrazmikov"/>
      </w:pPr>
    </w:p>
    <w:sectPr w:rsidR="00AE26A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4942"/>
    <w:rsid w:val="00017F97"/>
    <w:rsid w:val="001118BD"/>
    <w:rsid w:val="00300FDB"/>
    <w:rsid w:val="005C4942"/>
    <w:rsid w:val="00644A84"/>
    <w:rsid w:val="00934A33"/>
    <w:rsid w:val="00BB0BB7"/>
    <w:rsid w:val="00BE0846"/>
    <w:rsid w:val="00D828C6"/>
    <w:rsid w:val="00E8191E"/>
    <w:rsid w:val="00F032DA"/>
    <w:rsid w:val="00FF49C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uiPriority w:val="1"/>
    <w:qFormat/>
    <w:rsid w:val="005C4942"/>
    <w:pPr>
      <w:spacing w:after="0" w:line="240" w:lineRule="auto"/>
    </w:pPr>
  </w:style>
  <w:style w:type="paragraph" w:styleId="Besedilooblaka">
    <w:name w:val="Balloon Text"/>
    <w:basedOn w:val="Navaden"/>
    <w:link w:val="BesedilooblakaZnak"/>
    <w:uiPriority w:val="99"/>
    <w:semiHidden/>
    <w:unhideWhenUsed/>
    <w:rsid w:val="005C4942"/>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5C494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uiPriority w:val="1"/>
    <w:qFormat/>
    <w:rsid w:val="005C4942"/>
    <w:pPr>
      <w:spacing w:after="0" w:line="240" w:lineRule="auto"/>
    </w:pPr>
  </w:style>
  <w:style w:type="paragraph" w:styleId="Besedilooblaka">
    <w:name w:val="Balloon Text"/>
    <w:basedOn w:val="Navaden"/>
    <w:link w:val="BesedilooblakaZnak"/>
    <w:uiPriority w:val="99"/>
    <w:semiHidden/>
    <w:unhideWhenUsed/>
    <w:rsid w:val="005C4942"/>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5C494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5715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chart" Target="charts/chart1.xml"/><Relationship Id="rId5" Type="http://schemas.openxmlformats.org/officeDocument/2006/relationships/image" Target="media/image1.jpeg"/><Relationship Id="rId4" Type="http://schemas.openxmlformats.org/officeDocument/2006/relationships/webSettings" Target="webSettings.xml"/></Relationships>
</file>

<file path=word/charts/_rels/chart1.xml.rels><?xml version="1.0" encoding="UTF-8" standalone="yes"?>
<Relationships xmlns="http://schemas.openxmlformats.org/package/2006/relationships"><Relationship Id="rId3" Type="http://schemas.microsoft.com/office/2011/relationships/chartStyle" Target="style1.xml"/><Relationship Id="rId2" Type="http://schemas.microsoft.com/office/2011/relationships/chartColorStyle" Target="colors1.xml"/><Relationship Id="rId1" Type="http://schemas.openxmlformats.org/officeDocument/2006/relationships/oleObject" Target="Zvezek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sl-SI"/>
  <c:roundedCorners val="0"/>
  <mc:AlternateContent xmlns:mc="http://schemas.openxmlformats.org/markup-compatibility/2006">
    <mc:Choice xmlns:c14="http://schemas.microsoft.com/office/drawing/2007/8/2/chart" Requires="c14">
      <c14:style val="102"/>
    </mc:Choice>
    <mc:Fallback>
      <c:style val="2"/>
    </mc:Fallback>
  </mc:AlternateContent>
  <c:pivotSource>
    <c:name>[Zvezek1]List2!Vrtilna tabela1</c:name>
    <c:fmtId val="-1"/>
  </c:pivotSource>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sl-SI"/>
              <a:t>Prodaja bonov(količinsko)</a:t>
            </a:r>
            <a:endParaRPr lang="en-US"/>
          </a:p>
        </c:rich>
      </c:tx>
      <c:layout/>
      <c:overlay val="0"/>
      <c:spPr>
        <a:noFill/>
        <a:ln>
          <a:noFill/>
        </a:ln>
        <a:effectLst/>
      </c:spPr>
    </c:title>
    <c:autoTitleDeleted val="0"/>
    <c:pivotFmts>
      <c:pivotFmt>
        <c:idx val="0"/>
        <c:spPr>
          <a:solidFill>
            <a:schemeClr val="accent1">
              <a:alpha val="85000"/>
            </a:schemeClr>
          </a:solidFill>
          <a:ln w="31750" cap="rnd" cmpd="sng" algn="ctr">
            <a:solidFill>
              <a:schemeClr val="accent1"/>
            </a:solidFill>
            <a:round/>
          </a:ln>
          <a:effectLst/>
        </c:spPr>
        <c:marker>
          <c:symbol val="circle"/>
          <c:size val="17"/>
          <c:spPr>
            <a:solidFill>
              <a:schemeClr val="accent1"/>
            </a:solidFill>
            <a:ln>
              <a:noFill/>
            </a:ln>
            <a:effectLst/>
          </c:spPr>
        </c:marker>
        <c:dLbl>
          <c:idx val="0"/>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sl-SI"/>
            </a:p>
          </c:txPr>
          <c:dLblPos val="ctr"/>
          <c:showLegendKey val="0"/>
          <c:showVal val="1"/>
          <c:showCatName val="0"/>
          <c:showSerName val="0"/>
          <c:showPercent val="0"/>
          <c:showBubbleSize val="0"/>
          <c:extLst>
            <c:ext xmlns:c15="http://schemas.microsoft.com/office/drawing/2012/chart" uri="{CE6537A1-D6FC-4f65-9D91-7224C49458BB}"/>
          </c:extLst>
        </c:dLbl>
      </c:pivotFmt>
      <c:pivotFmt>
        <c:idx val="1"/>
        <c:spPr>
          <a:solidFill>
            <a:schemeClr val="accent1">
              <a:alpha val="85000"/>
            </a:schemeClr>
          </a:solidFill>
          <a:ln w="31750" cap="rnd" cmpd="sng" algn="ctr">
            <a:solidFill>
              <a:schemeClr val="accent1"/>
            </a:solidFill>
            <a:round/>
          </a:ln>
          <a:effectLst/>
        </c:spPr>
        <c:marker>
          <c:symbol val="circle"/>
          <c:size val="17"/>
          <c:spPr>
            <a:solidFill>
              <a:schemeClr val="accent1"/>
            </a:solidFill>
            <a:ln>
              <a:noFill/>
            </a:ln>
            <a:effectLst/>
          </c:spPr>
        </c:marker>
        <c:dLbl>
          <c:idx val="0"/>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sl-SI"/>
            </a:p>
          </c:txPr>
          <c:dLblPos val="ctr"/>
          <c:showLegendKey val="0"/>
          <c:showVal val="1"/>
          <c:showCatName val="0"/>
          <c:showSerName val="0"/>
          <c:showPercent val="0"/>
          <c:showBubbleSize val="0"/>
          <c:extLst>
            <c:ext xmlns:c15="http://schemas.microsoft.com/office/drawing/2012/chart" uri="{CE6537A1-D6FC-4f65-9D91-7224C49458BB}"/>
          </c:extLst>
        </c:dLbl>
      </c:pivotFmt>
      <c:pivotFmt>
        <c:idx val="2"/>
        <c:spPr>
          <a:solidFill>
            <a:schemeClr val="accent1">
              <a:alpha val="85000"/>
            </a:schemeClr>
          </a:solidFill>
          <a:ln w="31750" cap="rnd" cmpd="sng" algn="ctr">
            <a:solidFill>
              <a:schemeClr val="accent1"/>
            </a:solidFill>
            <a:round/>
          </a:ln>
          <a:effectLst/>
        </c:spPr>
        <c:marker>
          <c:symbol val="circle"/>
          <c:size val="17"/>
          <c:spPr>
            <a:solidFill>
              <a:schemeClr val="accent1"/>
            </a:solidFill>
            <a:ln>
              <a:noFill/>
            </a:ln>
            <a:effectLst/>
          </c:spPr>
        </c:marker>
        <c:dLbl>
          <c:idx val="0"/>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sl-SI"/>
            </a:p>
          </c:txPr>
          <c:dLblPos val="ctr"/>
          <c:showLegendKey val="0"/>
          <c:showVal val="1"/>
          <c:showCatName val="0"/>
          <c:showSerName val="0"/>
          <c:showPercent val="0"/>
          <c:showBubbleSize val="0"/>
          <c:extLst>
            <c:ext xmlns:c15="http://schemas.microsoft.com/office/drawing/2012/chart" uri="{CE6537A1-D6FC-4f65-9D91-7224C49458BB}"/>
          </c:extLst>
        </c:dLbl>
      </c:pivotFmt>
    </c:pivotFmts>
    <c:plotArea>
      <c:layout/>
      <c:lineChart>
        <c:grouping val="standard"/>
        <c:varyColors val="0"/>
        <c:ser>
          <c:idx val="0"/>
          <c:order val="0"/>
          <c:tx>
            <c:strRef>
              <c:f>List2!$B$3</c:f>
              <c:strCache>
                <c:ptCount val="1"/>
                <c:pt idx="0">
                  <c:v>Vsota</c:v>
                </c:pt>
              </c:strCache>
            </c:strRef>
          </c:tx>
          <c:spPr>
            <a:ln w="31750" cap="rnd">
              <a:solidFill>
                <a:schemeClr val="accent1"/>
              </a:solidFill>
              <a:round/>
            </a:ln>
            <a:effectLst/>
          </c:spPr>
          <c:marker>
            <c:symbol val="circle"/>
            <c:size val="17"/>
            <c:spPr>
              <a:solidFill>
                <a:schemeClr val="accent1"/>
              </a:solidFill>
              <a:ln>
                <a:noFill/>
              </a:ln>
              <a:effectLst/>
            </c:spPr>
          </c:marker>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sl-SI"/>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trendline>
            <c:spPr>
              <a:ln w="19050" cap="rnd">
                <a:solidFill>
                  <a:schemeClr val="accent1"/>
                </a:solidFill>
              </a:ln>
              <a:effectLst/>
            </c:spPr>
            <c:trendlineType val="linear"/>
            <c:dispRSqr val="0"/>
            <c:dispEq val="0"/>
          </c:trendline>
          <c:cat>
            <c:strRef>
              <c:f>List2!$A$4:$A$22</c:f>
              <c:strCache>
                <c:ptCount val="18"/>
                <c:pt idx="0">
                  <c:v>2017-04</c:v>
                </c:pt>
                <c:pt idx="1">
                  <c:v>2017-05</c:v>
                </c:pt>
                <c:pt idx="2">
                  <c:v>2017-06</c:v>
                </c:pt>
                <c:pt idx="3">
                  <c:v>2017-07</c:v>
                </c:pt>
                <c:pt idx="4">
                  <c:v>2017-08</c:v>
                </c:pt>
                <c:pt idx="5">
                  <c:v>2017-09</c:v>
                </c:pt>
                <c:pt idx="6">
                  <c:v>2017-10</c:v>
                </c:pt>
                <c:pt idx="7">
                  <c:v>2017-11</c:v>
                </c:pt>
                <c:pt idx="8">
                  <c:v>2017-12</c:v>
                </c:pt>
                <c:pt idx="9">
                  <c:v>2018-01</c:v>
                </c:pt>
                <c:pt idx="10">
                  <c:v>2018-02</c:v>
                </c:pt>
                <c:pt idx="11">
                  <c:v>2018-03</c:v>
                </c:pt>
                <c:pt idx="12">
                  <c:v>2018-04</c:v>
                </c:pt>
                <c:pt idx="13">
                  <c:v>2018-05</c:v>
                </c:pt>
                <c:pt idx="14">
                  <c:v>2018-06</c:v>
                </c:pt>
                <c:pt idx="15">
                  <c:v>2018-07</c:v>
                </c:pt>
                <c:pt idx="16">
                  <c:v>2018-08</c:v>
                </c:pt>
                <c:pt idx="17">
                  <c:v>2018-09</c:v>
                </c:pt>
              </c:strCache>
            </c:strRef>
          </c:cat>
          <c:val>
            <c:numRef>
              <c:f>List2!$B$4:$B$22</c:f>
              <c:numCache>
                <c:formatCode>General</c:formatCode>
                <c:ptCount val="18"/>
                <c:pt idx="0">
                  <c:v>51</c:v>
                </c:pt>
                <c:pt idx="1">
                  <c:v>65</c:v>
                </c:pt>
                <c:pt idx="2">
                  <c:v>46</c:v>
                </c:pt>
                <c:pt idx="3">
                  <c:v>25</c:v>
                </c:pt>
                <c:pt idx="4">
                  <c:v>32</c:v>
                </c:pt>
                <c:pt idx="5">
                  <c:v>119</c:v>
                </c:pt>
                <c:pt idx="6">
                  <c:v>89</c:v>
                </c:pt>
                <c:pt idx="7">
                  <c:v>109</c:v>
                </c:pt>
                <c:pt idx="8">
                  <c:v>92</c:v>
                </c:pt>
                <c:pt idx="9">
                  <c:v>85</c:v>
                </c:pt>
                <c:pt idx="10">
                  <c:v>90</c:v>
                </c:pt>
                <c:pt idx="11">
                  <c:v>152</c:v>
                </c:pt>
                <c:pt idx="12">
                  <c:v>60</c:v>
                </c:pt>
                <c:pt idx="13">
                  <c:v>95</c:v>
                </c:pt>
                <c:pt idx="14">
                  <c:v>29</c:v>
                </c:pt>
                <c:pt idx="15">
                  <c:v>206</c:v>
                </c:pt>
                <c:pt idx="16">
                  <c:v>85</c:v>
                </c:pt>
                <c:pt idx="17">
                  <c:v>148</c:v>
                </c:pt>
              </c:numCache>
            </c:numRef>
          </c:val>
          <c:smooth val="0"/>
        </c:ser>
        <c:dLbls>
          <c:dLblPos val="ctr"/>
          <c:showLegendKey val="0"/>
          <c:showVal val="1"/>
          <c:showCatName val="0"/>
          <c:showSerName val="0"/>
          <c:showPercent val="0"/>
          <c:showBubbleSize val="0"/>
        </c:dLbls>
        <c:marker val="1"/>
        <c:smooth val="0"/>
        <c:axId val="47799296"/>
        <c:axId val="48013888"/>
      </c:lineChart>
      <c:catAx>
        <c:axId val="47799296"/>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sl-SI"/>
          </a:p>
        </c:txPr>
        <c:crossAx val="48013888"/>
        <c:crosses val="autoZero"/>
        <c:auto val="1"/>
        <c:lblAlgn val="ctr"/>
        <c:lblOffset val="100"/>
        <c:noMultiLvlLbl val="0"/>
      </c:catAx>
      <c:valAx>
        <c:axId val="48013888"/>
        <c:scaling>
          <c:orientation val="minMax"/>
        </c:scaling>
        <c:delete val="1"/>
        <c:axPos val="l"/>
        <c:majorGridlines>
          <c:spPr>
            <a:ln w="9525" cap="flat" cmpd="sng" algn="ctr">
              <a:gradFill>
                <a:gsLst>
                  <a:gs pos="100000">
                    <a:schemeClr val="dk1">
                      <a:lumMod val="95000"/>
                      <a:lumOff val="5000"/>
                      <a:alpha val="42000"/>
                    </a:schemeClr>
                  </a:gs>
                  <a:gs pos="0">
                    <a:schemeClr val="lt1">
                      <a:lumMod val="75000"/>
                      <a:alpha val="36000"/>
                    </a:schemeClr>
                  </a:gs>
                </a:gsLst>
                <a:lin ang="5400000" scaled="0"/>
              </a:gradFill>
              <a:round/>
            </a:ln>
            <a:effectLst/>
          </c:spPr>
        </c:majorGridlines>
        <c:numFmt formatCode="General" sourceLinked="1"/>
        <c:majorTickMark val="none"/>
        <c:minorTickMark val="none"/>
        <c:tickLblPos val="nextTo"/>
        <c:crossAx val="47799296"/>
        <c:crosses val="autoZero"/>
        <c:crossBetween val="between"/>
      </c:valAx>
      <c:spPr>
        <a:noFill/>
        <a:ln>
          <a:noFill/>
        </a:ln>
        <a:effectLst/>
      </c:spPr>
    </c:plotArea>
    <c:legend>
      <c:legendPos val="r"/>
      <c:layout/>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sl-SI"/>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sl-SI"/>
    </a:p>
  </c:txPr>
  <c:externalData r:id="rId1">
    <c:autoUpdate val="0"/>
  </c:externalData>
  <c:extLst>
    <c:ext xmlns:c14="http://schemas.microsoft.com/office/drawing/2007/8/2/chart" uri="{781A3756-C4B2-4CAC-9D66-4F8BD8637D16}">
      <c14:pivotOptions>
        <c14:dropZoneFilter val="1"/>
        <c14:dropZoneCategories val="1"/>
        <c14:dropZoneData val="1"/>
        <c14:dropZoneSeries val="1"/>
        <c14:dropZonesVisible val="1"/>
      </c14:pivotOptions>
    </c:ext>
  </c:extLst>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8">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styleClr val="auto"/>
    </cs:fillRef>
    <cs:effectRef idx="0"/>
    <cs:fontRef idx="minor">
      <a:schemeClr val="lt1"/>
    </cs:fontRef>
    <cs:defRPr sz="900" b="1" i="0" u="none" strike="noStrike" kern="1200" baseline="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
  <cs:dataPoint3D>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3D>
  <cs:dataPointLine>
    <cs:lnRef idx="0">
      <cs:styleClr val="auto"/>
    </cs:lnRef>
    <cs:fillRef idx="0"/>
    <cs:effectRef idx="0"/>
    <cs:fontRef idx="minor">
      <a:schemeClr val="dk1"/>
    </cs:fontRef>
    <cs:spPr>
      <a:ln w="31750" cap="rnd">
        <a:solidFill>
          <a:schemeClr val="phClr"/>
        </a:solidFill>
        <a:round/>
      </a:ln>
    </cs:spPr>
  </cs:dataPointLine>
  <cs:dataPointMarker>
    <cs:lnRef idx="0"/>
    <cs:fillRef idx="0">
      <cs:styleClr val="auto"/>
    </cs:fillRef>
    <cs:effectRef idx="0"/>
    <cs:fontRef idx="minor">
      <a:schemeClr val="dk1"/>
    </cs:fontRef>
    <cs:spPr>
      <a:solidFill>
        <a:schemeClr val="phClr"/>
      </a:solidFill>
    </cs:spPr>
  </cs:dataPointMarker>
  <cs:dataPointMarkerLayout symbol="circle" size="17"/>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667</Words>
  <Characters>3808</Characters>
  <Application>Microsoft Office Word</Application>
  <DocSecurity>4</DocSecurity>
  <Lines>31</Lines>
  <Paragraphs>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4467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Zdenka Frank</dc:creator>
  <cp:lastModifiedBy>Zdenka Frank</cp:lastModifiedBy>
  <cp:revision>2</cp:revision>
  <dcterms:created xsi:type="dcterms:W3CDTF">2018-09-19T05:46:00Z</dcterms:created>
  <dcterms:modified xsi:type="dcterms:W3CDTF">2018-09-19T05:46:00Z</dcterms:modified>
</cp:coreProperties>
</file>